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A12180" w:rsidRDefault="00A12180" w:rsidP="00A12180">
      <w:pPr>
        <w:widowControl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м.п</w:t>
      </w:r>
      <w:bookmarkStart w:id="0" w:name="_GoBack"/>
      <w:bookmarkEnd w:id="0"/>
      <w:proofErr w:type="spellEnd"/>
    </w:p>
    <w:sectPr w:rsidR="00C713CE" w:rsidRPr="00A12180" w:rsidSect="00A12180">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D6" w:rsidRDefault="003009D6" w:rsidP="006A4ECF">
      <w:pPr>
        <w:spacing w:after="0" w:line="240" w:lineRule="auto"/>
      </w:pPr>
      <w:r>
        <w:separator/>
      </w:r>
    </w:p>
  </w:endnote>
  <w:endnote w:type="continuationSeparator" w:id="0">
    <w:p w:rsidR="003009D6" w:rsidRDefault="003009D6"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D6" w:rsidRDefault="003009D6" w:rsidP="006A4ECF">
      <w:pPr>
        <w:spacing w:after="0" w:line="240" w:lineRule="auto"/>
      </w:pPr>
      <w:r>
        <w:separator/>
      </w:r>
    </w:p>
  </w:footnote>
  <w:footnote w:type="continuationSeparator" w:id="0">
    <w:p w:rsidR="003009D6" w:rsidRDefault="003009D6"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009D6"/>
    <w:rsid w:val="00310BB9"/>
    <w:rsid w:val="004D66AD"/>
    <w:rsid w:val="004E0B25"/>
    <w:rsid w:val="005647A5"/>
    <w:rsid w:val="00664D81"/>
    <w:rsid w:val="006A4ECF"/>
    <w:rsid w:val="006B32CD"/>
    <w:rsid w:val="00760DA5"/>
    <w:rsid w:val="00812A33"/>
    <w:rsid w:val="00884EB1"/>
    <w:rsid w:val="008C0C4A"/>
    <w:rsid w:val="00A12180"/>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2015-08-31T09:12:00Z</dcterms:modified>
</cp:coreProperties>
</file>